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7" w:rsidRDefault="009D1A79" w:rsidP="009D1A79">
      <w:pPr>
        <w:jc w:val="center"/>
        <w:rPr>
          <w:rFonts w:ascii="Times New Roman" w:hAnsi="Times New Roman" w:cs="Times New Roman"/>
          <w:b/>
          <w:sz w:val="24"/>
        </w:rPr>
      </w:pPr>
      <w:r w:rsidRPr="009D1A79">
        <w:rPr>
          <w:rFonts w:ascii="Times New Roman" w:hAnsi="Times New Roman" w:cs="Times New Roman"/>
          <w:b/>
          <w:sz w:val="24"/>
        </w:rPr>
        <w:t>Human Capital Reading List</w:t>
      </w:r>
    </w:p>
    <w:p w:rsidR="009D1A79" w:rsidRDefault="009D1A79" w:rsidP="009D1A79">
      <w:pPr>
        <w:jc w:val="center"/>
        <w:rPr>
          <w:rFonts w:ascii="Times New Roman" w:hAnsi="Times New Roman" w:cs="Times New Roman"/>
          <w:sz w:val="24"/>
        </w:rPr>
      </w:pPr>
      <w:r w:rsidRPr="009D1A79">
        <w:rPr>
          <w:rFonts w:ascii="Times New Roman" w:hAnsi="Times New Roman" w:cs="Times New Roman"/>
          <w:sz w:val="24"/>
        </w:rPr>
        <w:t xml:space="preserve">Barbara M. </w:t>
      </w:r>
      <w:proofErr w:type="spellStart"/>
      <w:r w:rsidRPr="009D1A79">
        <w:rPr>
          <w:rFonts w:ascii="Times New Roman" w:hAnsi="Times New Roman" w:cs="Times New Roman"/>
          <w:sz w:val="24"/>
        </w:rPr>
        <w:t>Fraumeni</w:t>
      </w:r>
      <w:proofErr w:type="spellEnd"/>
      <w:r w:rsidRPr="009D1A79">
        <w:rPr>
          <w:rFonts w:ascii="Times New Roman" w:hAnsi="Times New Roman" w:cs="Times New Roman"/>
          <w:sz w:val="24"/>
        </w:rPr>
        <w:t xml:space="preserve"> April 2015</w:t>
      </w:r>
    </w:p>
    <w:p w:rsidR="009D1A79" w:rsidRPr="00371F31" w:rsidRDefault="009D1A79" w:rsidP="009D1A79">
      <w:pPr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>Seminal Papers:</w:t>
      </w:r>
    </w:p>
    <w:p w:rsidR="009D1A79" w:rsidRPr="00371F31" w:rsidRDefault="009D1A79" w:rsidP="009D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>Theodore</w:t>
      </w:r>
      <w:r w:rsidRPr="0037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31">
        <w:rPr>
          <w:rFonts w:ascii="Times New Roman" w:hAnsi="Times New Roman" w:cs="Times New Roman"/>
          <w:sz w:val="24"/>
          <w:szCs w:val="24"/>
        </w:rPr>
        <w:t xml:space="preserve">W. Schultz, “Investment in Human Capital,” </w:t>
      </w:r>
      <w:r w:rsidRPr="00371F31">
        <w:rPr>
          <w:rFonts w:ascii="Times New Roman" w:hAnsi="Times New Roman" w:cs="Times New Roman"/>
          <w:sz w:val="24"/>
          <w:szCs w:val="24"/>
          <w:u w:val="single"/>
        </w:rPr>
        <w:t>American Economic Review</w:t>
      </w:r>
      <w:r w:rsidRPr="00371F31">
        <w:rPr>
          <w:rFonts w:ascii="Times New Roman" w:hAnsi="Times New Roman" w:cs="Times New Roman"/>
          <w:sz w:val="24"/>
          <w:szCs w:val="24"/>
        </w:rPr>
        <w:t>, March, 51(1), pp. 1-17, 1961.</w:t>
      </w:r>
      <w:proofErr w:type="gramEnd"/>
    </w:p>
    <w:p w:rsidR="009D1A79" w:rsidRPr="00371F31" w:rsidRDefault="009D1A79" w:rsidP="009D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A79" w:rsidRPr="00371F31" w:rsidRDefault="009D1A79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1F31">
        <w:rPr>
          <w:rFonts w:ascii="Times New Roman" w:hAnsi="Times New Roman" w:cs="Times New Roman"/>
          <w:sz w:val="24"/>
          <w:szCs w:val="24"/>
        </w:rPr>
        <w:t>Zvi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Griliches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and William Mason, “Education, Income, and Ability,” </w:t>
      </w:r>
      <w:r w:rsidRPr="00371F31">
        <w:rPr>
          <w:rFonts w:ascii="Times New Roman" w:hAnsi="Times New Roman" w:cs="Times New Roman"/>
          <w:sz w:val="24"/>
          <w:szCs w:val="24"/>
          <w:u w:val="single"/>
        </w:rPr>
        <w:t>Journal of Political Economy</w:t>
      </w:r>
      <w:r w:rsidRPr="00371F31">
        <w:rPr>
          <w:rFonts w:ascii="Times New Roman" w:hAnsi="Times New Roman" w:cs="Times New Roman"/>
          <w:sz w:val="24"/>
          <w:szCs w:val="24"/>
        </w:rPr>
        <w:t>, May/June, 80(3), part 2, 1972, pp. S64-S103.</w:t>
      </w:r>
      <w:proofErr w:type="gramEnd"/>
    </w:p>
    <w:p w:rsidR="009D1A79" w:rsidRPr="00371F31" w:rsidRDefault="009D1A79" w:rsidP="009D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A79" w:rsidRPr="00371F31" w:rsidRDefault="009D1A79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Michael Spence, "Job Market Signaling." </w:t>
      </w:r>
      <w:r w:rsidRPr="00371F31">
        <w:rPr>
          <w:rFonts w:ascii="Times New Roman" w:hAnsi="Times New Roman" w:cs="Times New Roman"/>
          <w:sz w:val="24"/>
          <w:szCs w:val="24"/>
          <w:u w:val="single"/>
        </w:rPr>
        <w:t>Quarterly Journal of Economics</w:t>
      </w:r>
      <w:r w:rsidRPr="00371F31">
        <w:rPr>
          <w:rFonts w:ascii="Times New Roman" w:hAnsi="Times New Roman" w:cs="Times New Roman"/>
          <w:sz w:val="24"/>
          <w:szCs w:val="24"/>
        </w:rPr>
        <w:t>, August, 87(3)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,1973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>,</w:t>
      </w:r>
    </w:p>
    <w:p w:rsidR="009D1A79" w:rsidRPr="00371F31" w:rsidRDefault="009D1A79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>pp. 355–374.</w:t>
      </w:r>
    </w:p>
    <w:p w:rsidR="0001742C" w:rsidRPr="00371F31" w:rsidRDefault="0001742C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2C" w:rsidRPr="00371F31" w:rsidRDefault="0001742C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>Cost Approach:</w:t>
      </w:r>
    </w:p>
    <w:p w:rsidR="00371F31" w:rsidRPr="00371F31" w:rsidRDefault="00371F31" w:rsidP="009D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F31" w:rsidRPr="00371F31" w:rsidRDefault="00371F31" w:rsidP="00371F31">
      <w:pPr>
        <w:pStyle w:val="Biblio-Entry"/>
        <w:spacing w:after="0"/>
        <w:ind w:left="0" w:firstLine="0"/>
        <w:rPr>
          <w:sz w:val="24"/>
          <w:szCs w:val="24"/>
          <w:lang w:eastAsia="en-US"/>
        </w:rPr>
      </w:pPr>
      <w:r w:rsidRPr="00371F31">
        <w:rPr>
          <w:sz w:val="24"/>
          <w:szCs w:val="24"/>
          <w:lang w:eastAsia="en-US"/>
        </w:rPr>
        <w:t>Kendrick, J. (1976),</w:t>
      </w:r>
      <w:r w:rsidRPr="00371F31">
        <w:rPr>
          <w:i/>
          <w:sz w:val="24"/>
          <w:szCs w:val="24"/>
          <w:lang w:eastAsia="en-US"/>
        </w:rPr>
        <w:t xml:space="preserve"> </w:t>
      </w:r>
      <w:proofErr w:type="gramStart"/>
      <w:r w:rsidRPr="00371F31">
        <w:rPr>
          <w:i/>
          <w:sz w:val="24"/>
          <w:szCs w:val="24"/>
          <w:lang w:eastAsia="en-US"/>
        </w:rPr>
        <w:t>The</w:t>
      </w:r>
      <w:proofErr w:type="gramEnd"/>
      <w:r w:rsidRPr="00371F31">
        <w:rPr>
          <w:i/>
          <w:sz w:val="24"/>
          <w:szCs w:val="24"/>
          <w:lang w:eastAsia="en-US"/>
        </w:rPr>
        <w:t xml:space="preserve"> Formation and Stocks of Total Capital, </w:t>
      </w:r>
      <w:r w:rsidRPr="00371F31">
        <w:rPr>
          <w:sz w:val="24"/>
          <w:szCs w:val="24"/>
          <w:lang w:eastAsia="en-US"/>
        </w:rPr>
        <w:t>Columbia University Press,</w:t>
      </w:r>
    </w:p>
    <w:p w:rsidR="00371F31" w:rsidRPr="00371F31" w:rsidRDefault="00371F31" w:rsidP="00371F31">
      <w:pPr>
        <w:pStyle w:val="Biblio-Entry"/>
        <w:spacing w:after="0"/>
        <w:rPr>
          <w:sz w:val="24"/>
          <w:szCs w:val="24"/>
          <w:lang w:eastAsia="en-US"/>
        </w:rPr>
      </w:pPr>
      <w:r w:rsidRPr="00371F31">
        <w:rPr>
          <w:sz w:val="24"/>
          <w:szCs w:val="24"/>
          <w:lang w:eastAsia="en-US"/>
        </w:rPr>
        <w:t>New York, N.Y.</w:t>
      </w:r>
    </w:p>
    <w:p w:rsidR="009D1A79" w:rsidRPr="00371F31" w:rsidRDefault="009D1A79" w:rsidP="009D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4" w:rsidRPr="00371F31" w:rsidRDefault="0001742C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 xml:space="preserve">World Bank Residual </w:t>
      </w:r>
      <w:r w:rsidR="00483F74">
        <w:rPr>
          <w:rFonts w:ascii="Times New Roman" w:hAnsi="Times New Roman" w:cs="Times New Roman"/>
          <w:b/>
          <w:sz w:val="24"/>
          <w:szCs w:val="24"/>
        </w:rPr>
        <w:t xml:space="preserve">(Indirect) </w:t>
      </w:r>
      <w:bookmarkStart w:id="0" w:name="_GoBack"/>
      <w:bookmarkEnd w:id="0"/>
      <w:r w:rsidRPr="00371F31">
        <w:rPr>
          <w:rFonts w:ascii="Times New Roman" w:hAnsi="Times New Roman" w:cs="Times New Roman"/>
          <w:b/>
          <w:sz w:val="24"/>
          <w:szCs w:val="24"/>
        </w:rPr>
        <w:t>Approach</w:t>
      </w:r>
      <w:r w:rsidR="00437434" w:rsidRPr="00371F31">
        <w:rPr>
          <w:rFonts w:ascii="Times New Roman" w:hAnsi="Times New Roman" w:cs="Times New Roman"/>
          <w:b/>
          <w:sz w:val="24"/>
          <w:szCs w:val="24"/>
        </w:rPr>
        <w:t>: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4" w:rsidRPr="00371F31" w:rsidRDefault="00437434" w:rsidP="00437434">
      <w:pPr>
        <w:autoSpaceDE w:val="0"/>
        <w:autoSpaceDN w:val="0"/>
        <w:adjustRightInd w:val="0"/>
        <w:spacing w:after="0" w:line="240" w:lineRule="auto"/>
        <w:rPr>
          <w:rFonts w:ascii="Times New Roman" w:eastAsia="Calluna-It" w:hAnsi="Times New Roman" w:cs="Times New Roman"/>
          <w:i/>
          <w:sz w:val="24"/>
          <w:szCs w:val="24"/>
        </w:rPr>
      </w:pPr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WORLD BANK. (2006). </w:t>
      </w:r>
      <w:r w:rsidRPr="00371F31">
        <w:rPr>
          <w:rFonts w:ascii="Times New Roman" w:eastAsia="Calluna-It" w:hAnsi="Times New Roman" w:cs="Times New Roman"/>
          <w:i/>
          <w:sz w:val="24"/>
          <w:szCs w:val="24"/>
        </w:rPr>
        <w:t xml:space="preserve">Where is the wealth of nations? </w:t>
      </w:r>
      <w:r w:rsidRPr="00371F31">
        <w:rPr>
          <w:rFonts w:ascii="Times New Roman" w:eastAsia="Calluna-Regular" w:hAnsi="Times New Roman" w:cs="Times New Roman"/>
          <w:sz w:val="24"/>
          <w:szCs w:val="24"/>
        </w:rPr>
        <w:t>Washington, DC: World Bank.</w:t>
      </w:r>
    </w:p>
    <w:p w:rsidR="00437434" w:rsidRPr="00371F31" w:rsidRDefault="00437434" w:rsidP="00437434">
      <w:pPr>
        <w:autoSpaceDE w:val="0"/>
        <w:autoSpaceDN w:val="0"/>
        <w:adjustRightInd w:val="0"/>
        <w:spacing w:after="0" w:line="240" w:lineRule="auto"/>
        <w:rPr>
          <w:rFonts w:ascii="Times New Roman" w:eastAsia="Calluna-Regular" w:hAnsi="Times New Roman" w:cs="Times New Roman"/>
          <w:sz w:val="24"/>
          <w:szCs w:val="24"/>
        </w:rPr>
      </w:pPr>
    </w:p>
    <w:p w:rsidR="00437434" w:rsidRPr="00371F31" w:rsidRDefault="00437434" w:rsidP="00437434">
      <w:pPr>
        <w:autoSpaceDE w:val="0"/>
        <w:autoSpaceDN w:val="0"/>
        <w:adjustRightInd w:val="0"/>
        <w:spacing w:after="0" w:line="240" w:lineRule="auto"/>
        <w:rPr>
          <w:rFonts w:ascii="Times New Roman" w:eastAsia="Calluna-Regular" w:hAnsi="Times New Roman" w:cs="Times New Roman"/>
          <w:sz w:val="24"/>
          <w:szCs w:val="24"/>
        </w:rPr>
      </w:pPr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WORLD BANK. (2011). </w:t>
      </w:r>
      <w:proofErr w:type="gramStart"/>
      <w:r w:rsidRPr="00371F31">
        <w:rPr>
          <w:rFonts w:ascii="Times New Roman" w:eastAsia="Calluna-It" w:hAnsi="Times New Roman" w:cs="Times New Roman"/>
          <w:i/>
          <w:sz w:val="24"/>
          <w:szCs w:val="24"/>
        </w:rPr>
        <w:t>The</w:t>
      </w:r>
      <w:proofErr w:type="gramEnd"/>
      <w:r w:rsidRPr="00371F31">
        <w:rPr>
          <w:rFonts w:ascii="Times New Roman" w:eastAsia="Calluna-It" w:hAnsi="Times New Roman" w:cs="Times New Roman"/>
          <w:i/>
          <w:sz w:val="24"/>
          <w:szCs w:val="24"/>
        </w:rPr>
        <w:t xml:space="preserve"> changing wealth of nations</w:t>
      </w:r>
      <w:r w:rsidRPr="00371F31">
        <w:rPr>
          <w:rFonts w:ascii="Times New Roman" w:eastAsia="Calluna-Regular" w:hAnsi="Times New Roman" w:cs="Times New Roman"/>
          <w:sz w:val="24"/>
          <w:szCs w:val="24"/>
        </w:rPr>
        <w:t>. Washington, DC: World Bank.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>Indicator Approach:</w:t>
      </w:r>
    </w:p>
    <w:p w:rsidR="00024848" w:rsidRPr="00371F31" w:rsidRDefault="00024848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848" w:rsidRPr="00371F31" w:rsidRDefault="00024848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ab/>
        <w:t>OECD: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4" w:rsidRPr="00371F31" w:rsidRDefault="00437434" w:rsidP="004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OECD (2013), </w:t>
      </w:r>
      <w:r w:rsidRPr="00371F31">
        <w:rPr>
          <w:rFonts w:ascii="Times New Roman" w:hAnsi="Times New Roman" w:cs="Times New Roman"/>
          <w:i/>
          <w:iCs/>
          <w:sz w:val="24"/>
          <w:szCs w:val="24"/>
        </w:rPr>
        <w:t xml:space="preserve">Education at a Glance 2014: OECD Indicators, </w:t>
      </w:r>
      <w:r w:rsidRPr="00371F31">
        <w:rPr>
          <w:rFonts w:ascii="Times New Roman" w:hAnsi="Times New Roman" w:cs="Times New Roman"/>
          <w:sz w:val="24"/>
          <w:szCs w:val="24"/>
        </w:rPr>
        <w:t>OECD Publishing.</w:t>
      </w:r>
    </w:p>
    <w:p w:rsidR="00437434" w:rsidRPr="00371F31" w:rsidRDefault="00437434" w:rsidP="00437434">
      <w:pPr>
        <w:rPr>
          <w:rFonts w:ascii="Times New Roman" w:hAnsi="Times New Roman" w:cs="Times New Roman"/>
          <w:iCs/>
          <w:sz w:val="24"/>
          <w:szCs w:val="24"/>
        </w:rPr>
      </w:pPr>
      <w:r w:rsidRPr="00371F31">
        <w:rPr>
          <w:rFonts w:ascii="Times New Roman" w:hAnsi="Times New Roman" w:cs="Times New Roman"/>
          <w:iCs/>
          <w:sz w:val="24"/>
          <w:szCs w:val="24"/>
        </w:rPr>
        <w:t>http://www.oecd.org/edu/eag.htm.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ab/>
        <w:t>PISA Examples: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4" w:rsidRPr="00371F31" w:rsidRDefault="00437434" w:rsidP="00437434">
      <w:pPr>
        <w:rPr>
          <w:rFonts w:ascii="Times New Roman" w:hAnsi="Times New Roman" w:cs="Times New Roman"/>
          <w:iCs/>
          <w:sz w:val="24"/>
          <w:szCs w:val="24"/>
        </w:rPr>
      </w:pPr>
      <w:r w:rsidRPr="00371F31">
        <w:rPr>
          <w:rFonts w:ascii="Times New Roman" w:hAnsi="Times New Roman" w:cs="Times New Roman"/>
          <w:iCs/>
          <w:sz w:val="24"/>
          <w:szCs w:val="24"/>
        </w:rPr>
        <w:t xml:space="preserve">OECD (2014), </w:t>
      </w:r>
      <w:r w:rsidRPr="00371F31">
        <w:rPr>
          <w:rFonts w:ascii="Times New Roman" w:hAnsi="Times New Roman" w:cs="Times New Roman"/>
          <w:i/>
          <w:iCs/>
          <w:sz w:val="24"/>
          <w:szCs w:val="24"/>
        </w:rPr>
        <w:t>PISA 2012 results: Creative problem solving: Students’ skills in tackling real-life problems</w:t>
      </w:r>
      <w:r w:rsidRPr="00371F31">
        <w:rPr>
          <w:rFonts w:ascii="Times New Roman" w:hAnsi="Times New Roman" w:cs="Times New Roman"/>
          <w:iCs/>
          <w:sz w:val="24"/>
          <w:szCs w:val="24"/>
        </w:rPr>
        <w:t xml:space="preserve">, volume V, PISA 2102. OECD Publishing. </w:t>
      </w:r>
      <w:hyperlink r:id="rId8" w:history="1">
        <w:r w:rsidRPr="00371F3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http://www.oecd.org/pisa/keyfindings/pisa-2012-results-volume-v.htm</w:t>
        </w:r>
      </w:hyperlink>
      <w:r w:rsidRPr="00371F31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:rsidR="00437434" w:rsidRPr="00371F31" w:rsidRDefault="00437434" w:rsidP="00437434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iCs/>
          <w:sz w:val="24"/>
          <w:szCs w:val="24"/>
        </w:rPr>
        <w:t xml:space="preserve">OECD (undated), </w:t>
      </w:r>
      <w:r w:rsidRPr="00371F31">
        <w:rPr>
          <w:rFonts w:ascii="Times New Roman" w:hAnsi="Times New Roman" w:cs="Times New Roman"/>
          <w:i/>
          <w:iCs/>
          <w:sz w:val="24"/>
          <w:szCs w:val="24"/>
        </w:rPr>
        <w:t>PISA 2012 results</w:t>
      </w:r>
      <w:r w:rsidRPr="00371F31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9" w:history="1">
        <w:r w:rsidRPr="00371F3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http://www.oecd.org/pisa/keyfindings/pisa-2012-results.htm</w:t>
        </w:r>
      </w:hyperlink>
      <w:r w:rsidRPr="00371F31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F74BDA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ab/>
      </w:r>
    </w:p>
    <w:p w:rsidR="00F74BDA" w:rsidRDefault="00F74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7434" w:rsidRPr="00371F31" w:rsidRDefault="00437434" w:rsidP="00F74BD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lastRenderedPageBreak/>
        <w:t>PIAAC Examples:</w:t>
      </w:r>
    </w:p>
    <w:p w:rsidR="00437434" w:rsidRPr="00371F31" w:rsidRDefault="00437434" w:rsidP="009D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4" w:rsidRPr="00371F31" w:rsidRDefault="00437434" w:rsidP="00437434">
      <w:pPr>
        <w:rPr>
          <w:rFonts w:ascii="Times New Roman" w:hAnsi="Times New Roman" w:cs="Times New Roman"/>
          <w:iCs/>
          <w:sz w:val="24"/>
          <w:szCs w:val="24"/>
        </w:rPr>
      </w:pPr>
      <w:r w:rsidRPr="00371F31">
        <w:rPr>
          <w:rFonts w:ascii="Times New Roman" w:hAnsi="Times New Roman" w:cs="Times New Roman"/>
          <w:iCs/>
          <w:sz w:val="24"/>
          <w:szCs w:val="24"/>
        </w:rPr>
        <w:t xml:space="preserve">OECD (2014), </w:t>
      </w:r>
      <w:r w:rsidRPr="00371F31">
        <w:rPr>
          <w:rFonts w:ascii="Times New Roman" w:hAnsi="Times New Roman" w:cs="Times New Roman"/>
          <w:i/>
          <w:iCs/>
          <w:sz w:val="24"/>
          <w:szCs w:val="24"/>
        </w:rPr>
        <w:t>OECD skills outlook 2013: First results from the survey of adult skills</w:t>
      </w:r>
      <w:r w:rsidRPr="00371F31">
        <w:rPr>
          <w:rFonts w:ascii="Times New Roman" w:hAnsi="Times New Roman" w:cs="Times New Roman"/>
          <w:iCs/>
          <w:sz w:val="24"/>
          <w:szCs w:val="24"/>
        </w:rPr>
        <w:t xml:space="preserve">. OECD Publishing. </w:t>
      </w:r>
      <w:hyperlink r:id="rId10" w:history="1">
        <w:r w:rsidRPr="00371F3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http://skills.oecd.org/skillsoutlook.html</w:t>
        </w:r>
      </w:hyperlink>
      <w:r w:rsidRPr="00371F31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:rsidR="00437434" w:rsidRPr="00371F31" w:rsidRDefault="00437434" w:rsidP="00437434">
      <w:pPr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OECD (undated) </w:t>
      </w:r>
      <w:r w:rsidRPr="00371F31">
        <w:rPr>
          <w:rFonts w:ascii="Times New Roman" w:hAnsi="Times New Roman" w:cs="Times New Roman"/>
          <w:i/>
          <w:sz w:val="24"/>
          <w:szCs w:val="24"/>
        </w:rPr>
        <w:t>OECD skills surveys</w:t>
      </w:r>
      <w:r w:rsidRPr="00371F31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024848" w:rsidRPr="00371F31">
          <w:rPr>
            <w:rStyle w:val="Hyperlink"/>
            <w:rFonts w:ascii="Times New Roman" w:hAnsi="Times New Roman" w:cs="Times New Roman"/>
            <w:sz w:val="24"/>
            <w:szCs w:val="24"/>
          </w:rPr>
          <w:t>http://www.oecd.org/site/piaac/</w:t>
        </w:r>
      </w:hyperlink>
      <w:r w:rsidRPr="00371F31">
        <w:rPr>
          <w:rFonts w:ascii="Times New Roman" w:hAnsi="Times New Roman" w:cs="Times New Roman"/>
          <w:sz w:val="24"/>
          <w:szCs w:val="24"/>
        </w:rPr>
        <w:t>.</w:t>
      </w:r>
    </w:p>
    <w:p w:rsidR="00437434" w:rsidRPr="00371F31" w:rsidRDefault="00024848" w:rsidP="00024848">
      <w:pPr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1F31">
        <w:rPr>
          <w:rFonts w:ascii="Times New Roman" w:hAnsi="Times New Roman" w:cs="Times New Roman"/>
          <w:b/>
          <w:sz w:val="24"/>
          <w:szCs w:val="24"/>
        </w:rPr>
        <w:t>Barro</w:t>
      </w:r>
      <w:proofErr w:type="spellEnd"/>
      <w:r w:rsidRPr="00371F31">
        <w:rPr>
          <w:rFonts w:ascii="Times New Roman" w:hAnsi="Times New Roman" w:cs="Times New Roman"/>
          <w:b/>
          <w:sz w:val="24"/>
          <w:szCs w:val="24"/>
        </w:rPr>
        <w:t>-Lee:</w:t>
      </w:r>
    </w:p>
    <w:p w:rsidR="00024848" w:rsidRPr="00371F31" w:rsidRDefault="00024848" w:rsidP="00024848">
      <w:pPr>
        <w:autoSpaceDE w:val="0"/>
        <w:autoSpaceDN w:val="0"/>
        <w:adjustRightInd w:val="0"/>
        <w:spacing w:after="0" w:line="240" w:lineRule="auto"/>
        <w:rPr>
          <w:rFonts w:ascii="Times New Roman" w:eastAsia="Calluna-Regular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eastAsia="Calluna-Regular" w:hAnsi="Times New Roman" w:cs="Times New Roman"/>
          <w:sz w:val="24"/>
          <w:szCs w:val="24"/>
        </w:rPr>
        <w:t>BARRO, R. &amp; LEE, J. (2010).</w:t>
      </w:r>
      <w:proofErr w:type="gramEnd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 A new data set of educational attainment in the world, 1950-</w:t>
      </w:r>
    </w:p>
    <w:p w:rsidR="00024848" w:rsidRPr="00371F31" w:rsidRDefault="00024848" w:rsidP="00024848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371F31">
        <w:rPr>
          <w:rFonts w:eastAsia="Calluna-Regular"/>
        </w:rPr>
        <w:t xml:space="preserve">2010. </w:t>
      </w:r>
      <w:r w:rsidRPr="00371F31">
        <w:rPr>
          <w:rFonts w:eastAsia="Calluna-It"/>
          <w:i/>
        </w:rPr>
        <w:t>NBER Working Paper No. 15902</w:t>
      </w:r>
      <w:r w:rsidRPr="00371F31">
        <w:rPr>
          <w:rFonts w:eastAsia="Calluna-Regular"/>
        </w:rPr>
        <w:t xml:space="preserve">. </w:t>
      </w:r>
      <w:proofErr w:type="gramStart"/>
      <w:r w:rsidRPr="00371F31">
        <w:rPr>
          <w:rFonts w:eastAsia="Calluna-Regular"/>
        </w:rPr>
        <w:t xml:space="preserve">Cited as: </w:t>
      </w:r>
      <w:proofErr w:type="spellStart"/>
      <w:r w:rsidRPr="00371F31">
        <w:t>Barro</w:t>
      </w:r>
      <w:proofErr w:type="spellEnd"/>
      <w:r w:rsidRPr="00371F31">
        <w:t>, R. and Jong-</w:t>
      </w:r>
      <w:proofErr w:type="spellStart"/>
      <w:r w:rsidRPr="00371F31">
        <w:t>Wha</w:t>
      </w:r>
      <w:proofErr w:type="spellEnd"/>
      <w:r w:rsidRPr="00371F31">
        <w:t xml:space="preserve"> Lee, J. Forthcoming.</w:t>
      </w:r>
      <w:proofErr w:type="gramEnd"/>
      <w:r w:rsidRPr="00371F31">
        <w:t xml:space="preserve"> </w:t>
      </w:r>
      <w:hyperlink r:id="rId12" w:tgtFrame="_blank" w:history="1">
        <w:r w:rsidRPr="00371F31">
          <w:rPr>
            <w:rStyle w:val="Hyperlink"/>
            <w:color w:val="000000" w:themeColor="text1"/>
          </w:rPr>
          <w:t xml:space="preserve">A new data set of educational attainment </w:t>
        </w:r>
      </w:hyperlink>
      <w:hyperlink r:id="rId13" w:tgtFrame="_blank" w:history="1">
        <w:r w:rsidRPr="00371F31">
          <w:rPr>
            <w:rStyle w:val="Hyperlink"/>
            <w:color w:val="000000" w:themeColor="text1"/>
          </w:rPr>
          <w:t>in the world, 1950-2010.</w:t>
        </w:r>
      </w:hyperlink>
      <w:r w:rsidRPr="00371F31">
        <w:t xml:space="preserve">  </w:t>
      </w:r>
      <w:proofErr w:type="gramStart"/>
      <w:r w:rsidRPr="00371F31">
        <w:rPr>
          <w:i/>
        </w:rPr>
        <w:t>Journal of Development Economics</w:t>
      </w:r>
      <w:r w:rsidRPr="00371F31">
        <w:t>.</w:t>
      </w:r>
      <w:proofErr w:type="gramEnd"/>
    </w:p>
    <w:p w:rsidR="00024848" w:rsidRPr="00371F31" w:rsidRDefault="00024848" w:rsidP="00024848">
      <w:pPr>
        <w:spacing w:after="0"/>
        <w:rPr>
          <w:rFonts w:ascii="Times New Roman" w:eastAsia="Calluna-Regular" w:hAnsi="Times New Roman" w:cs="Times New Roman"/>
          <w:sz w:val="24"/>
          <w:szCs w:val="24"/>
        </w:rPr>
      </w:pPr>
    </w:p>
    <w:p w:rsidR="00024848" w:rsidRPr="00371F31" w:rsidRDefault="00024848" w:rsidP="00024848">
      <w:pPr>
        <w:rPr>
          <w:rFonts w:ascii="Times New Roman" w:eastAsia="Calluna-Regular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eastAsia="Calluna-Regular" w:hAnsi="Times New Roman" w:cs="Times New Roman"/>
          <w:sz w:val="24"/>
          <w:szCs w:val="24"/>
        </w:rPr>
        <w:t>BARRO, R. &amp; LEE, J. (2013).</w:t>
      </w:r>
      <w:proofErr w:type="gramEnd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 </w:t>
      </w:r>
      <w:proofErr w:type="spellStart"/>
      <w:r w:rsidRPr="00371F31">
        <w:rPr>
          <w:rFonts w:ascii="Times New Roman" w:eastAsia="Calluna-Regular" w:hAnsi="Times New Roman" w:cs="Times New Roman"/>
          <w:sz w:val="24"/>
          <w:szCs w:val="24"/>
        </w:rPr>
        <w:t>Barro</w:t>
      </w:r>
      <w:proofErr w:type="spellEnd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-Lee educational attainment data set. Last updated April 9, 2013. </w:t>
      </w:r>
      <w:proofErr w:type="gramStart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Retrieved October 2013 from </w:t>
      </w:r>
      <w:proofErr w:type="spellStart"/>
      <w:r w:rsidRPr="00371F31">
        <w:rPr>
          <w:rFonts w:ascii="Times New Roman" w:eastAsia="Calluna-Regular" w:hAnsi="Times New Roman" w:cs="Times New Roman"/>
          <w:sz w:val="24"/>
          <w:szCs w:val="24"/>
        </w:rPr>
        <w:t>from</w:t>
      </w:r>
      <w:proofErr w:type="spellEnd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 </w:t>
      </w:r>
      <w:hyperlink r:id="rId14" w:history="1">
        <w:r w:rsidRPr="00371F31">
          <w:rPr>
            <w:rStyle w:val="Hyperlink"/>
            <w:rFonts w:ascii="Times New Roman" w:eastAsia="Calluna-Regular" w:hAnsi="Times New Roman" w:cs="Times New Roman"/>
            <w:sz w:val="24"/>
            <w:szCs w:val="24"/>
          </w:rPr>
          <w:t>http://www.barrolee.com/</w:t>
        </w:r>
      </w:hyperlink>
      <w:r w:rsidRPr="00371F31">
        <w:rPr>
          <w:rFonts w:ascii="Times New Roman" w:eastAsia="Calluna-Regular" w:hAnsi="Times New Roman" w:cs="Times New Roman"/>
          <w:sz w:val="24"/>
          <w:szCs w:val="24"/>
        </w:rPr>
        <w:t>.</w:t>
      </w:r>
      <w:proofErr w:type="gramEnd"/>
    </w:p>
    <w:p w:rsidR="00024848" w:rsidRPr="00371F31" w:rsidRDefault="00024848" w:rsidP="00024848">
      <w:pPr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>Lifetime Income</w:t>
      </w:r>
      <w:r w:rsidR="00483F74">
        <w:rPr>
          <w:rFonts w:ascii="Times New Roman" w:hAnsi="Times New Roman" w:cs="Times New Roman"/>
          <w:b/>
          <w:sz w:val="24"/>
          <w:szCs w:val="24"/>
        </w:rPr>
        <w:t xml:space="preserve"> Approach</w:t>
      </w:r>
      <w:r w:rsidRPr="00371F31">
        <w:rPr>
          <w:rFonts w:ascii="Times New Roman" w:hAnsi="Times New Roman" w:cs="Times New Roman"/>
          <w:b/>
          <w:sz w:val="24"/>
          <w:szCs w:val="24"/>
        </w:rPr>
        <w:t>:</w:t>
      </w:r>
    </w:p>
    <w:p w:rsidR="00024848" w:rsidRPr="00371F31" w:rsidRDefault="00024848" w:rsidP="00024848">
      <w:pPr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ab/>
        <w:t>Jorgenson-</w:t>
      </w:r>
      <w:proofErr w:type="spellStart"/>
      <w:r w:rsidRPr="00371F31">
        <w:rPr>
          <w:rFonts w:ascii="Times New Roman" w:hAnsi="Times New Roman" w:cs="Times New Roman"/>
          <w:b/>
          <w:sz w:val="24"/>
          <w:szCs w:val="24"/>
        </w:rPr>
        <w:t>Fraumeni</w:t>
      </w:r>
      <w:proofErr w:type="spellEnd"/>
      <w:r w:rsidRPr="00371F31">
        <w:rPr>
          <w:rFonts w:ascii="Times New Roman" w:hAnsi="Times New Roman" w:cs="Times New Roman"/>
          <w:b/>
          <w:sz w:val="24"/>
          <w:szCs w:val="24"/>
        </w:rPr>
        <w:t>:</w:t>
      </w:r>
    </w:p>
    <w:p w:rsidR="00024848" w:rsidRPr="00371F31" w:rsidRDefault="00024848" w:rsidP="0002484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>JORGENSON, D. W. &amp; FRAUMENI, B. M. (1989).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The accumulation of human and non-human capital, 1948-1984.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In R.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Lipsey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and H. Tice (Eds.) </w:t>
      </w:r>
      <w:proofErr w:type="gramStart"/>
      <w:r w:rsidRPr="00371F31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71F31">
        <w:rPr>
          <w:rFonts w:ascii="Times New Roman" w:hAnsi="Times New Roman" w:cs="Times New Roman"/>
          <w:i/>
          <w:sz w:val="24"/>
          <w:szCs w:val="24"/>
        </w:rPr>
        <w:t xml:space="preserve"> measurement of saving, investment and wealth </w:t>
      </w:r>
      <w:r w:rsidRPr="00371F31">
        <w:rPr>
          <w:rFonts w:ascii="Times New Roman" w:hAnsi="Times New Roman" w:cs="Times New Roman"/>
          <w:sz w:val="24"/>
          <w:szCs w:val="24"/>
        </w:rPr>
        <w:t>(pp. 227-282), Chicago: University of Chicago Press, NBER.</w:t>
      </w:r>
    </w:p>
    <w:p w:rsidR="00024848" w:rsidRPr="00371F31" w:rsidRDefault="00024848" w:rsidP="0002484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>JORGENSON, D. W. &amp; FRAUMENI, B. M. (1992a).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“Investment in education and U.S. economic growth.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F31">
        <w:rPr>
          <w:rFonts w:ascii="Times New Roman" w:hAnsi="Times New Roman" w:cs="Times New Roman"/>
          <w:i/>
          <w:sz w:val="24"/>
          <w:szCs w:val="24"/>
        </w:rPr>
        <w:t>Scandinavian Journal of Economics</w:t>
      </w:r>
      <w:r w:rsidRPr="00371F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(pp. S51-70), 94, Supplement.</w:t>
      </w:r>
    </w:p>
    <w:p w:rsidR="00024848" w:rsidRPr="00371F31" w:rsidRDefault="00024848" w:rsidP="0002484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>JORGENSON, D. W. &amp; FRAUMENI, B. M. (1992b).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The output of the education sector.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In Z.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Griliches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Breshnahan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Manser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and E. Berndt (Eds.) </w:t>
      </w:r>
      <w:proofErr w:type="gramStart"/>
      <w:r w:rsidRPr="00371F31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71F31">
        <w:rPr>
          <w:rFonts w:ascii="Times New Roman" w:hAnsi="Times New Roman" w:cs="Times New Roman"/>
          <w:i/>
          <w:sz w:val="24"/>
          <w:szCs w:val="24"/>
        </w:rPr>
        <w:t xml:space="preserve"> output of the service sector </w:t>
      </w:r>
      <w:r w:rsidRPr="00371F31">
        <w:rPr>
          <w:rFonts w:ascii="Times New Roman" w:hAnsi="Times New Roman" w:cs="Times New Roman"/>
          <w:sz w:val="24"/>
          <w:szCs w:val="24"/>
        </w:rPr>
        <w:t>(pp. 303-341). Chicago: University of Chicago Press, NBER.</w:t>
      </w:r>
    </w:p>
    <w:p w:rsidR="00024848" w:rsidRPr="00371F31" w:rsidRDefault="00024848" w:rsidP="00024848">
      <w:pPr>
        <w:tabs>
          <w:tab w:val="num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F31">
        <w:rPr>
          <w:rFonts w:ascii="Times New Roman" w:hAnsi="Times New Roman" w:cs="Times New Roman"/>
          <w:sz w:val="24"/>
          <w:szCs w:val="24"/>
        </w:rPr>
        <w:t>Fraumeni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Barbara M., </w:t>
      </w:r>
      <w:r w:rsidRPr="00371F31">
        <w:rPr>
          <w:rFonts w:ascii="Times New Roman" w:hAnsi="Times New Roman" w:cs="Times New Roman"/>
          <w:sz w:val="24"/>
          <w:szCs w:val="24"/>
        </w:rPr>
        <w:t>Michael S. Christian and Jon D. Samuels</w:t>
      </w:r>
      <w:r w:rsidRPr="00371F31">
        <w:rPr>
          <w:rFonts w:ascii="Times New Roman" w:hAnsi="Times New Roman" w:cs="Times New Roman"/>
          <w:sz w:val="24"/>
          <w:szCs w:val="24"/>
        </w:rPr>
        <w:t xml:space="preserve">, </w:t>
      </w:r>
      <w:r w:rsidRPr="00371F31">
        <w:rPr>
          <w:rFonts w:ascii="Times New Roman" w:hAnsi="Times New Roman" w:cs="Times New Roman"/>
          <w:sz w:val="24"/>
          <w:szCs w:val="24"/>
        </w:rPr>
        <w:t xml:space="preserve">“Accumulation of Human and Nonhuman Capital, Revisited,” paper presented at the IARIW Special Conference 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W(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>h)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ither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the SNA </w:t>
      </w:r>
      <w:r w:rsidRPr="00371F31">
        <w:rPr>
          <w:rFonts w:ascii="Times New Roman" w:hAnsi="Times New Roman" w:cs="Times New Roman"/>
          <w:sz w:val="24"/>
          <w:szCs w:val="24"/>
        </w:rPr>
        <w:t xml:space="preserve">in Paris, France, </w:t>
      </w:r>
      <w:r w:rsidRPr="00371F31">
        <w:rPr>
          <w:rFonts w:ascii="Times New Roman" w:hAnsi="Times New Roman" w:cs="Times New Roman"/>
          <w:sz w:val="24"/>
          <w:szCs w:val="24"/>
        </w:rPr>
        <w:t>April 17, 2015.</w:t>
      </w:r>
    </w:p>
    <w:p w:rsidR="00024848" w:rsidRPr="00371F31" w:rsidRDefault="00024848" w:rsidP="00024848">
      <w:pPr>
        <w:tabs>
          <w:tab w:val="num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48" w:rsidRPr="00371F31" w:rsidRDefault="00024848" w:rsidP="00024848">
      <w:pPr>
        <w:tabs>
          <w:tab w:val="num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1F31">
        <w:rPr>
          <w:rFonts w:ascii="Times New Roman" w:hAnsi="Times New Roman" w:cs="Times New Roman"/>
          <w:b/>
          <w:sz w:val="24"/>
          <w:szCs w:val="24"/>
        </w:rPr>
        <w:t>Jorgenson-</w:t>
      </w:r>
      <w:proofErr w:type="spellStart"/>
      <w:r w:rsidRPr="00371F31">
        <w:rPr>
          <w:rFonts w:ascii="Times New Roman" w:hAnsi="Times New Roman" w:cs="Times New Roman"/>
          <w:b/>
          <w:sz w:val="24"/>
          <w:szCs w:val="24"/>
        </w:rPr>
        <w:t>Fraumeni</w:t>
      </w:r>
      <w:proofErr w:type="spellEnd"/>
      <w:r w:rsidRPr="0037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42C" w:rsidRPr="00371F31">
        <w:rPr>
          <w:rFonts w:ascii="Times New Roman" w:hAnsi="Times New Roman" w:cs="Times New Roman"/>
          <w:b/>
          <w:sz w:val="24"/>
          <w:szCs w:val="24"/>
        </w:rPr>
        <w:t>human capital estimated by other researchers:</w:t>
      </w:r>
    </w:p>
    <w:p w:rsidR="0001742C" w:rsidRPr="00371F31" w:rsidRDefault="0001742C" w:rsidP="00024848">
      <w:pPr>
        <w:tabs>
          <w:tab w:val="num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42C" w:rsidRPr="00371F31" w:rsidRDefault="0001742C" w:rsidP="0001742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371F31">
        <w:rPr>
          <w:rFonts w:ascii="Times New Roman" w:hAnsi="Times New Roman" w:cs="Times New Roman"/>
          <w:sz w:val="24"/>
          <w:szCs w:val="24"/>
        </w:rPr>
        <w:t>Coremberg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A. (2010), “The Economic Value of Human Capital and Education in an Unstable Economy: the Case of Argentina,” paper prepared for the 31st General Conference of the International Association for Research in Income and Wealth, St.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Gallen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>, Switzerland, August 22-28.</w:t>
      </w:r>
    </w:p>
    <w:p w:rsidR="0001742C" w:rsidRPr="00371F31" w:rsidRDefault="0001742C" w:rsidP="0001742C">
      <w:pPr>
        <w:pStyle w:val="Biblio-Entry"/>
        <w:rPr>
          <w:sz w:val="24"/>
          <w:szCs w:val="24"/>
          <w:lang w:eastAsia="en-US"/>
        </w:rPr>
      </w:pPr>
      <w:proofErr w:type="spellStart"/>
      <w:r w:rsidRPr="00371F31">
        <w:rPr>
          <w:sz w:val="24"/>
          <w:szCs w:val="24"/>
          <w:lang w:val="en-US"/>
        </w:rPr>
        <w:lastRenderedPageBreak/>
        <w:t>Greaker</w:t>
      </w:r>
      <w:proofErr w:type="spellEnd"/>
      <w:r w:rsidRPr="00371F31">
        <w:rPr>
          <w:sz w:val="24"/>
          <w:szCs w:val="24"/>
          <w:lang w:val="en-US"/>
        </w:rPr>
        <w:t>, M.</w:t>
      </w:r>
      <w:r w:rsidRPr="00371F31">
        <w:rPr>
          <w:sz w:val="24"/>
          <w:szCs w:val="24"/>
        </w:rPr>
        <w:t>and G. Liu (2008), “</w:t>
      </w:r>
      <w:r w:rsidRPr="00371F31">
        <w:rPr>
          <w:sz w:val="24"/>
          <w:szCs w:val="24"/>
          <w:lang w:eastAsia="en-US"/>
        </w:rPr>
        <w:t>Measuring the stock of human capital for Norway – A lifetime labour income approach</w:t>
      </w:r>
      <w:r w:rsidRPr="00371F31">
        <w:rPr>
          <w:sz w:val="24"/>
          <w:szCs w:val="24"/>
        </w:rPr>
        <w:t>”, paper presented at the OECD workshop on “</w:t>
      </w:r>
      <w:r w:rsidRPr="00371F31">
        <w:rPr>
          <w:i/>
          <w:sz w:val="24"/>
          <w:szCs w:val="24"/>
        </w:rPr>
        <w:t>The Measurement of Human Capital</w:t>
      </w:r>
      <w:r w:rsidRPr="00371F31">
        <w:rPr>
          <w:sz w:val="24"/>
          <w:szCs w:val="24"/>
        </w:rPr>
        <w:t>” in Turin, Italy, 3-</w:t>
      </w:r>
      <w:r w:rsidRPr="00371F31">
        <w:rPr>
          <w:sz w:val="24"/>
          <w:szCs w:val="24"/>
          <w:lang w:eastAsia="en-US"/>
        </w:rPr>
        <w:t>4, November.</w:t>
      </w:r>
    </w:p>
    <w:p w:rsidR="0001742C" w:rsidRPr="00371F31" w:rsidRDefault="0001742C" w:rsidP="0001742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1F31">
        <w:rPr>
          <w:rFonts w:ascii="Times New Roman" w:hAnsi="Times New Roman" w:cs="Times New Roman"/>
          <w:sz w:val="24"/>
          <w:szCs w:val="24"/>
        </w:rPr>
        <w:t>Gu</w:t>
      </w:r>
      <w:proofErr w:type="spellEnd"/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Wulong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and Wong, Ambrose (2009), “Human Development and its Contribution to the Wealth Accounts in Canada,” paper presented at the Canadian Economic Association Annual Conference, May 29.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1F31">
        <w:rPr>
          <w:rFonts w:ascii="Times New Roman" w:hAnsi="Times New Roman" w:cs="Times New Roman"/>
          <w:color w:val="292526"/>
          <w:sz w:val="24"/>
          <w:szCs w:val="24"/>
        </w:rPr>
        <w:t>Gundimeda</w:t>
      </w:r>
      <w:proofErr w:type="spellEnd"/>
      <w:r w:rsidRPr="00371F31">
        <w:rPr>
          <w:rFonts w:ascii="Times New Roman" w:hAnsi="Times New Roman" w:cs="Times New Roman"/>
          <w:color w:val="292526"/>
          <w:sz w:val="24"/>
          <w:szCs w:val="24"/>
        </w:rPr>
        <w:t xml:space="preserve">, H., S. </w:t>
      </w:r>
      <w:proofErr w:type="spellStart"/>
      <w:r w:rsidRPr="00371F31">
        <w:rPr>
          <w:rFonts w:ascii="Times New Roman" w:hAnsi="Times New Roman" w:cs="Times New Roman"/>
          <w:color w:val="292526"/>
          <w:sz w:val="24"/>
          <w:szCs w:val="24"/>
        </w:rPr>
        <w:t>Sanyal</w:t>
      </w:r>
      <w:proofErr w:type="spellEnd"/>
      <w:r w:rsidRPr="00371F31">
        <w:rPr>
          <w:rFonts w:ascii="Times New Roman" w:hAnsi="Times New Roman" w:cs="Times New Roman"/>
          <w:i/>
          <w:color w:val="292526"/>
          <w:sz w:val="24"/>
          <w:szCs w:val="24"/>
        </w:rPr>
        <w:t xml:space="preserve">, </w:t>
      </w:r>
      <w:r w:rsidRPr="00371F31">
        <w:rPr>
          <w:rFonts w:ascii="Times New Roman" w:hAnsi="Times New Roman" w:cs="Times New Roman"/>
          <w:color w:val="292526"/>
          <w:sz w:val="24"/>
          <w:szCs w:val="24"/>
        </w:rPr>
        <w:t xml:space="preserve">R. Sinha, and P. </w:t>
      </w:r>
      <w:proofErr w:type="spellStart"/>
      <w:r w:rsidRPr="00371F31">
        <w:rPr>
          <w:rFonts w:ascii="Times New Roman" w:hAnsi="Times New Roman" w:cs="Times New Roman"/>
          <w:color w:val="292526"/>
          <w:sz w:val="24"/>
          <w:szCs w:val="24"/>
        </w:rPr>
        <w:t>Sukhdev</w:t>
      </w:r>
      <w:proofErr w:type="spellEnd"/>
      <w:r w:rsidRPr="00371F31">
        <w:rPr>
          <w:rFonts w:ascii="Times New Roman" w:hAnsi="Times New Roman" w:cs="Times New Roman"/>
          <w:color w:val="292526"/>
          <w:sz w:val="24"/>
          <w:szCs w:val="24"/>
        </w:rPr>
        <w:t xml:space="preserve"> (2007), “Estimating the Value of Educational Capital Formation in India,” Monograph 5, GAISP (Green Accounting for Indian States Project), TERI Press, New Delhi, India, March.</w:t>
      </w:r>
    </w:p>
    <w:p w:rsidR="0001742C" w:rsidRPr="00371F31" w:rsidRDefault="0001742C" w:rsidP="0001742C">
      <w:pPr>
        <w:pStyle w:val="NoSpacing"/>
        <w:rPr>
          <w:rFonts w:cs="Times New Roman"/>
          <w:color w:val="00000C"/>
          <w:szCs w:val="24"/>
        </w:rPr>
      </w:pPr>
    </w:p>
    <w:p w:rsidR="0001742C" w:rsidRPr="00371F31" w:rsidRDefault="0001742C" w:rsidP="0001742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Le, Trinh Van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Gibson, John, and Oxley, Les (2005), “Measuring the Stock of Human Capital in New Zealand,” </w:t>
      </w:r>
      <w:r w:rsidRPr="00371F31">
        <w:rPr>
          <w:rFonts w:ascii="Times New Roman" w:hAnsi="Times New Roman" w:cs="Times New Roman"/>
          <w:i/>
          <w:sz w:val="24"/>
          <w:szCs w:val="24"/>
        </w:rPr>
        <w:t>Mathematics and Computers in Simulation</w:t>
      </w:r>
      <w:r w:rsidRPr="00371F31">
        <w:rPr>
          <w:rFonts w:ascii="Times New Roman" w:hAnsi="Times New Roman" w:cs="Times New Roman"/>
          <w:sz w:val="24"/>
          <w:szCs w:val="24"/>
        </w:rPr>
        <w:t>, Volume 68, Issue 5-6, May, pp. 485-98.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 xml:space="preserve">Li, H., Y. Liang, B.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Fraumeni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Z. Liu, and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X.Wang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(2010) “China’s Human Capital Measurement and Index Construction,” </w:t>
      </w:r>
      <w:r w:rsidRPr="00371F31">
        <w:rPr>
          <w:rFonts w:ascii="Times New Roman" w:hAnsi="Times New Roman" w:cs="Times New Roman"/>
          <w:i/>
          <w:sz w:val="24"/>
          <w:szCs w:val="24"/>
        </w:rPr>
        <w:t>Economic Research Journal</w:t>
      </w:r>
      <w:r w:rsidRPr="00371F31">
        <w:rPr>
          <w:rFonts w:ascii="Times New Roman" w:hAnsi="Times New Roman" w:cs="Times New Roman"/>
          <w:sz w:val="24"/>
          <w:szCs w:val="24"/>
        </w:rPr>
        <w:t>, in Chinese, August, pp. 42-54.</w:t>
      </w:r>
      <w:proofErr w:type="gramEnd"/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42C" w:rsidRPr="00371F31" w:rsidRDefault="0001742C" w:rsidP="0001742C">
      <w:pPr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>LI, HAIZHENG (2013a) “</w:t>
      </w:r>
      <w:r w:rsidRPr="00371F31">
        <w:rPr>
          <w:rFonts w:ascii="Times New Roman" w:hAnsi="Times New Roman" w:cs="Times New Roman"/>
          <w:bCs/>
          <w:sz w:val="24"/>
          <w:szCs w:val="24"/>
        </w:rPr>
        <w:t xml:space="preserve">Human capital in China: Distribution and trend,” presentation at the 5th International Symposium on Human Capital and the Labor Market </w:t>
      </w:r>
      <w:r w:rsidRPr="00371F31">
        <w:rPr>
          <w:rFonts w:ascii="Times New Roman" w:hAnsi="Times New Roman" w:cs="Times New Roman"/>
          <w:sz w:val="24"/>
          <w:szCs w:val="24"/>
        </w:rPr>
        <w:t>China, Center for Human Capital and Labor Market Research, Central University of Finance and Economics, Beijing, December 15.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>Li, H., Principal Investigator (2012), “Human Capital in China,” China Center for Human Capital and Labor Market Research, Central University of Finance and Economics, Beijing, China, December.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>Li, H., Principal Investigator, (2013b), “Human Capital in China,” China Center for Human Capital and Labor Market Research, Central University of Finance and Economics, Beijing, China, October.???</w:t>
      </w:r>
      <w:proofErr w:type="gramStart"/>
      <w:r w:rsidRPr="00371F31">
        <w:rPr>
          <w:rFonts w:ascii="Times New Roman" w:hAnsi="Times New Roman" w:cs="Times New Roman"/>
          <w:sz w:val="24"/>
          <w:szCs w:val="24"/>
        </w:rPr>
        <w:t>recheck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cite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42C" w:rsidRPr="00371F31" w:rsidRDefault="0001742C" w:rsidP="00371F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F31">
        <w:rPr>
          <w:rFonts w:ascii="Times New Roman" w:hAnsi="Times New Roman" w:cs="Times New Roman"/>
          <w:sz w:val="24"/>
          <w:szCs w:val="24"/>
        </w:rPr>
        <w:t xml:space="preserve">Li, H., Y. Liang, B.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Fraumeni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, Z. Liu, and </w:t>
      </w:r>
      <w:proofErr w:type="spellStart"/>
      <w:r w:rsidRPr="00371F31">
        <w:rPr>
          <w:rFonts w:ascii="Times New Roman" w:hAnsi="Times New Roman" w:cs="Times New Roman"/>
          <w:sz w:val="24"/>
          <w:szCs w:val="24"/>
        </w:rPr>
        <w:t>X.Wang</w:t>
      </w:r>
      <w:proofErr w:type="spellEnd"/>
      <w:r w:rsidRPr="00371F31">
        <w:rPr>
          <w:rFonts w:ascii="Times New Roman" w:hAnsi="Times New Roman" w:cs="Times New Roman"/>
          <w:sz w:val="24"/>
          <w:szCs w:val="24"/>
        </w:rPr>
        <w:t xml:space="preserve"> (2013), “Human Capital in China,1985-2008,” </w:t>
      </w:r>
      <w:r w:rsidRPr="00371F31">
        <w:rPr>
          <w:rFonts w:ascii="Times New Roman" w:hAnsi="Times New Roman" w:cs="Times New Roman"/>
          <w:i/>
          <w:sz w:val="24"/>
          <w:szCs w:val="24"/>
        </w:rPr>
        <w:t>Review of Income and Wealth</w:t>
      </w:r>
      <w:r w:rsidRPr="00371F31">
        <w:rPr>
          <w:rFonts w:ascii="Times New Roman" w:hAnsi="Times New Roman" w:cs="Times New Roman"/>
          <w:sz w:val="24"/>
          <w:szCs w:val="24"/>
        </w:rPr>
        <w:t>, series 59, number 2, June, pp. 212-234.</w:t>
      </w:r>
    </w:p>
    <w:p w:rsidR="00371F31" w:rsidRPr="00371F31" w:rsidRDefault="00371F31" w:rsidP="00371F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42C" w:rsidRPr="00371F31" w:rsidRDefault="0001742C" w:rsidP="0001742C">
      <w:pPr>
        <w:rPr>
          <w:rFonts w:ascii="Times New Roman" w:hAnsi="Times New Roman" w:cs="Times New Roman"/>
          <w:bCs/>
          <w:sz w:val="24"/>
          <w:szCs w:val="24"/>
        </w:rPr>
      </w:pPr>
      <w:r w:rsidRPr="00371F31">
        <w:rPr>
          <w:rFonts w:ascii="Times New Roman" w:hAnsi="Times New Roman" w:cs="Times New Roman"/>
          <w:bCs/>
          <w:sz w:val="24"/>
          <w:szCs w:val="24"/>
        </w:rPr>
        <w:t>Liu, G.</w:t>
      </w:r>
      <w:r w:rsidRPr="00371F31">
        <w:rPr>
          <w:rFonts w:ascii="Times New Roman" w:hAnsi="Times New Roman" w:cs="Times New Roman"/>
          <w:sz w:val="24"/>
          <w:szCs w:val="24"/>
        </w:rPr>
        <w:t xml:space="preserve"> (2011) </w:t>
      </w:r>
      <w:r w:rsidRPr="00371F31">
        <w:rPr>
          <w:rFonts w:ascii="Times New Roman" w:hAnsi="Times New Roman" w:cs="Times New Roman"/>
          <w:bCs/>
          <w:sz w:val="24"/>
          <w:szCs w:val="24"/>
        </w:rPr>
        <w:t>“Measuring the Stock of Human Capital</w:t>
      </w:r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r w:rsidRPr="00371F31">
        <w:rPr>
          <w:rFonts w:ascii="Times New Roman" w:hAnsi="Times New Roman" w:cs="Times New Roman"/>
          <w:bCs/>
          <w:sz w:val="24"/>
          <w:szCs w:val="24"/>
        </w:rPr>
        <w:t>for Comparative Analysis: An Application of the Lifetime Income Approach to Selected Countries,” OECD Statistics Directorate, Working Paper #41</w:t>
      </w:r>
      <w:r w:rsidRPr="00371F31">
        <w:rPr>
          <w:rFonts w:ascii="Times New Roman" w:hAnsi="Times New Roman" w:cs="Times New Roman"/>
          <w:sz w:val="24"/>
          <w:szCs w:val="24"/>
        </w:rPr>
        <w:t xml:space="preserve">, </w:t>
      </w:r>
      <w:r w:rsidRPr="00371F31">
        <w:rPr>
          <w:rFonts w:ascii="Times New Roman" w:hAnsi="Times New Roman" w:cs="Times New Roman"/>
          <w:bCs/>
          <w:sz w:val="24"/>
          <w:szCs w:val="24"/>
        </w:rPr>
        <w:t>STD/</w:t>
      </w:r>
      <w:proofErr w:type="gramStart"/>
      <w:r w:rsidRPr="00371F31">
        <w:rPr>
          <w:rFonts w:ascii="Times New Roman" w:hAnsi="Times New Roman" w:cs="Times New Roman"/>
          <w:bCs/>
          <w:sz w:val="24"/>
          <w:szCs w:val="24"/>
        </w:rPr>
        <w:t>DOC(</w:t>
      </w:r>
      <w:proofErr w:type="gramEnd"/>
      <w:r w:rsidRPr="00371F31">
        <w:rPr>
          <w:rFonts w:ascii="Times New Roman" w:hAnsi="Times New Roman" w:cs="Times New Roman"/>
          <w:bCs/>
          <w:sz w:val="24"/>
          <w:szCs w:val="24"/>
        </w:rPr>
        <w:t>2011)6, October 10.</w:t>
      </w:r>
    </w:p>
    <w:p w:rsidR="0001742C" w:rsidRPr="00371F31" w:rsidRDefault="0001742C" w:rsidP="0001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C"/>
          <w:sz w:val="24"/>
          <w:szCs w:val="24"/>
        </w:rPr>
      </w:pPr>
      <w:r w:rsidRPr="00371F31">
        <w:rPr>
          <w:rFonts w:ascii="Times New Roman" w:hAnsi="Times New Roman" w:cs="Times New Roman"/>
          <w:color w:val="00000C"/>
          <w:sz w:val="24"/>
          <w:szCs w:val="24"/>
        </w:rPr>
        <w:t xml:space="preserve">Liu, G. and M. </w:t>
      </w:r>
      <w:proofErr w:type="spellStart"/>
      <w:r w:rsidRPr="00371F31">
        <w:rPr>
          <w:rFonts w:ascii="Times New Roman" w:hAnsi="Times New Roman" w:cs="Times New Roman"/>
          <w:color w:val="00000C"/>
          <w:sz w:val="24"/>
          <w:szCs w:val="24"/>
        </w:rPr>
        <w:t>Greaker</w:t>
      </w:r>
      <w:proofErr w:type="spellEnd"/>
      <w:r w:rsidRPr="00371F31">
        <w:rPr>
          <w:rFonts w:ascii="Times New Roman" w:hAnsi="Times New Roman" w:cs="Times New Roman"/>
          <w:color w:val="00000C"/>
          <w:sz w:val="24"/>
          <w:szCs w:val="24"/>
        </w:rPr>
        <w:t xml:space="preserve"> (2009), “Measuring the stock of human capital for Norway – A lifetime </w:t>
      </w:r>
      <w:proofErr w:type="spellStart"/>
      <w:r w:rsidRPr="00371F31">
        <w:rPr>
          <w:rFonts w:ascii="Times New Roman" w:hAnsi="Times New Roman" w:cs="Times New Roman"/>
          <w:color w:val="00000C"/>
          <w:sz w:val="24"/>
          <w:szCs w:val="24"/>
        </w:rPr>
        <w:t>labour</w:t>
      </w:r>
      <w:proofErr w:type="spellEnd"/>
      <w:r w:rsidRPr="00371F31">
        <w:rPr>
          <w:rFonts w:ascii="Times New Roman" w:hAnsi="Times New Roman" w:cs="Times New Roman"/>
          <w:color w:val="00000C"/>
          <w:sz w:val="24"/>
          <w:szCs w:val="24"/>
        </w:rPr>
        <w:t xml:space="preserve"> income approach”, </w:t>
      </w:r>
      <w:r w:rsidRPr="00371F31">
        <w:rPr>
          <w:rFonts w:ascii="Times New Roman" w:hAnsi="Times New Roman" w:cs="Times New Roman"/>
          <w:i/>
          <w:iCs/>
          <w:color w:val="00000C"/>
          <w:sz w:val="24"/>
          <w:szCs w:val="24"/>
        </w:rPr>
        <w:t>Documents</w:t>
      </w:r>
      <w:r w:rsidRPr="00371F31">
        <w:rPr>
          <w:rFonts w:ascii="Times New Roman" w:hAnsi="Times New Roman" w:cs="Times New Roman"/>
          <w:color w:val="00000C"/>
          <w:sz w:val="24"/>
          <w:szCs w:val="24"/>
        </w:rPr>
        <w:t>, 2009/12, Statistics Norway.</w:t>
      </w:r>
    </w:p>
    <w:p w:rsidR="0001742C" w:rsidRPr="00371F31" w:rsidRDefault="0001742C" w:rsidP="000174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C"/>
          <w:sz w:val="24"/>
          <w:szCs w:val="24"/>
        </w:rPr>
      </w:pPr>
    </w:p>
    <w:p w:rsidR="0001742C" w:rsidRPr="00371F31" w:rsidRDefault="0001742C" w:rsidP="0001742C">
      <w:pPr>
        <w:pStyle w:val="Biblio-Entry"/>
        <w:rPr>
          <w:sz w:val="24"/>
          <w:szCs w:val="24"/>
        </w:rPr>
      </w:pPr>
      <w:r w:rsidRPr="00371F31">
        <w:rPr>
          <w:sz w:val="24"/>
          <w:szCs w:val="24"/>
        </w:rPr>
        <w:lastRenderedPageBreak/>
        <w:t xml:space="preserve">Wei, H. (2004), “Measuring the Stock of Human Capital for Australia”, </w:t>
      </w:r>
      <w:r w:rsidRPr="00371F31">
        <w:rPr>
          <w:i/>
          <w:sz w:val="24"/>
          <w:szCs w:val="24"/>
        </w:rPr>
        <w:t>Working Paper</w:t>
      </w:r>
      <w:r w:rsidRPr="00371F31">
        <w:rPr>
          <w:sz w:val="24"/>
          <w:szCs w:val="24"/>
        </w:rPr>
        <w:t xml:space="preserve"> No. 2004/1, Australian Bureau of Statistics.</w:t>
      </w:r>
    </w:p>
    <w:p w:rsidR="0001742C" w:rsidRPr="00371F31" w:rsidRDefault="0001742C" w:rsidP="0001742C">
      <w:pPr>
        <w:pStyle w:val="Biblio-Entry"/>
        <w:rPr>
          <w:sz w:val="24"/>
          <w:szCs w:val="24"/>
        </w:rPr>
      </w:pPr>
      <w:r w:rsidRPr="00371F31">
        <w:rPr>
          <w:sz w:val="24"/>
          <w:szCs w:val="24"/>
        </w:rPr>
        <w:t xml:space="preserve">Wei, H. (2008), “Measuring Human Capital Flows for Australia”, </w:t>
      </w:r>
      <w:r w:rsidRPr="00371F31">
        <w:rPr>
          <w:i/>
          <w:sz w:val="24"/>
          <w:szCs w:val="24"/>
        </w:rPr>
        <w:t>Working Paper</w:t>
      </w:r>
      <w:r w:rsidRPr="00371F31">
        <w:rPr>
          <w:sz w:val="24"/>
          <w:szCs w:val="24"/>
        </w:rPr>
        <w:t xml:space="preserve"> No. 1351.0.55.023, Australian Bureau of Statistics.</w:t>
      </w:r>
    </w:p>
    <w:p w:rsidR="009D1A79" w:rsidRPr="00371F31" w:rsidRDefault="00371F31" w:rsidP="009D1A79">
      <w:pPr>
        <w:rPr>
          <w:rFonts w:ascii="Times New Roman" w:hAnsi="Times New Roman" w:cs="Times New Roman"/>
          <w:b/>
          <w:sz w:val="24"/>
          <w:szCs w:val="24"/>
        </w:rPr>
      </w:pPr>
      <w:r w:rsidRPr="00371F31">
        <w:rPr>
          <w:rFonts w:ascii="Times New Roman" w:hAnsi="Times New Roman" w:cs="Times New Roman"/>
          <w:b/>
          <w:sz w:val="24"/>
          <w:szCs w:val="24"/>
        </w:rPr>
        <w:t>Lifetime income approach – other:</w:t>
      </w:r>
    </w:p>
    <w:p w:rsidR="00371F31" w:rsidRPr="00371F31" w:rsidRDefault="00371F31" w:rsidP="00371F31">
      <w:pPr>
        <w:autoSpaceDE w:val="0"/>
        <w:autoSpaceDN w:val="0"/>
        <w:adjustRightInd w:val="0"/>
        <w:spacing w:after="0" w:line="240" w:lineRule="auto"/>
        <w:rPr>
          <w:rFonts w:ascii="Times New Roman" w:eastAsia="Calluna-Regular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eastAsia="Calluna-Regular" w:hAnsi="Times New Roman" w:cs="Times New Roman"/>
          <w:sz w:val="24"/>
          <w:szCs w:val="24"/>
        </w:rPr>
        <w:t>UNU-IHDP and UNEP (2012).</w:t>
      </w:r>
      <w:proofErr w:type="gramEnd"/>
      <w:r w:rsidRPr="00371F31">
        <w:rPr>
          <w:rFonts w:ascii="Times New Roman" w:eastAsia="Calluna-Regular" w:hAnsi="Times New Roman" w:cs="Times New Roman"/>
          <w:sz w:val="24"/>
          <w:szCs w:val="24"/>
        </w:rPr>
        <w:t xml:space="preserve"> </w:t>
      </w:r>
      <w:r w:rsidRPr="00371F31">
        <w:rPr>
          <w:rFonts w:ascii="Times New Roman" w:eastAsia="Calluna-It" w:hAnsi="Times New Roman" w:cs="Times New Roman"/>
          <w:i/>
          <w:sz w:val="24"/>
          <w:szCs w:val="24"/>
        </w:rPr>
        <w:t>Inclusive Wealth Report 2012: Measuring progress toward sustainability</w:t>
      </w:r>
      <w:r w:rsidRPr="00371F31">
        <w:rPr>
          <w:rFonts w:ascii="Times New Roman" w:eastAsia="Calluna-Regular" w:hAnsi="Times New Roman" w:cs="Times New Roman"/>
          <w:sz w:val="24"/>
          <w:szCs w:val="24"/>
        </w:rPr>
        <w:t>. Cambridge: Cambridge University Press.</w:t>
      </w:r>
    </w:p>
    <w:p w:rsidR="00371F31" w:rsidRPr="00371F31" w:rsidRDefault="00371F31" w:rsidP="00371F31">
      <w:pPr>
        <w:autoSpaceDE w:val="0"/>
        <w:autoSpaceDN w:val="0"/>
        <w:adjustRightInd w:val="0"/>
        <w:spacing w:after="0" w:line="240" w:lineRule="auto"/>
        <w:rPr>
          <w:rFonts w:ascii="Times New Roman" w:eastAsia="Calluna-Regular" w:hAnsi="Times New Roman" w:cs="Times New Roman"/>
          <w:sz w:val="24"/>
          <w:szCs w:val="24"/>
        </w:rPr>
      </w:pPr>
    </w:p>
    <w:p w:rsidR="00371F31" w:rsidRPr="00371F31" w:rsidRDefault="00371F31" w:rsidP="00371F31">
      <w:pPr>
        <w:pStyle w:val="ecxmsonormal"/>
        <w:autoSpaceDE w:val="0"/>
        <w:autoSpaceDN w:val="0"/>
        <w:spacing w:before="0" w:beforeAutospacing="0" w:after="0" w:afterAutospacing="0"/>
        <w:rPr>
          <w:rFonts w:eastAsia="Calluna-Regular"/>
        </w:rPr>
      </w:pPr>
      <w:proofErr w:type="gramStart"/>
      <w:r w:rsidRPr="00371F31">
        <w:rPr>
          <w:rFonts w:eastAsia="Calluna-Regular"/>
        </w:rPr>
        <w:t>UNU-IHDP and UNEP (2014).</w:t>
      </w:r>
      <w:proofErr w:type="gramEnd"/>
      <w:r w:rsidRPr="00371F31">
        <w:rPr>
          <w:rFonts w:eastAsia="Calluna-Regular"/>
        </w:rPr>
        <w:t xml:space="preserve"> </w:t>
      </w:r>
      <w:proofErr w:type="gramStart"/>
      <w:r w:rsidRPr="00371F31">
        <w:rPr>
          <w:rFonts w:eastAsia="Calluna-It"/>
          <w:i/>
          <w:iCs/>
        </w:rPr>
        <w:t>Inclusive Wealth</w:t>
      </w:r>
      <w:r w:rsidRPr="00371F31">
        <w:t xml:space="preserve"> </w:t>
      </w:r>
      <w:r w:rsidRPr="00371F31">
        <w:rPr>
          <w:rFonts w:eastAsia="Calluna-It"/>
          <w:i/>
          <w:iCs/>
        </w:rPr>
        <w:t>Report 2014.</w:t>
      </w:r>
      <w:proofErr w:type="gramEnd"/>
      <w:r w:rsidRPr="00371F31">
        <w:rPr>
          <w:rFonts w:eastAsia="Calluna-It"/>
          <w:i/>
          <w:iCs/>
        </w:rPr>
        <w:t xml:space="preserve"> </w:t>
      </w:r>
      <w:proofErr w:type="gramStart"/>
      <w:r w:rsidRPr="00371F31">
        <w:rPr>
          <w:rFonts w:eastAsia="Calluna-It"/>
          <w:i/>
          <w:iCs/>
        </w:rPr>
        <w:t>Measuring progress toward sustainability.</w:t>
      </w:r>
      <w:proofErr w:type="gramEnd"/>
      <w:r w:rsidRPr="00371F31">
        <w:rPr>
          <w:rFonts w:eastAsia="Calluna-It"/>
          <w:i/>
          <w:iCs/>
        </w:rPr>
        <w:t xml:space="preserve"> </w:t>
      </w:r>
      <w:r w:rsidRPr="00371F31">
        <w:rPr>
          <w:rFonts w:eastAsia="Calluna-Regular"/>
        </w:rPr>
        <w:t>Cambridge: Cambridge</w:t>
      </w:r>
      <w:r w:rsidRPr="00371F31">
        <w:t xml:space="preserve"> </w:t>
      </w:r>
      <w:r w:rsidRPr="00371F31">
        <w:rPr>
          <w:rFonts w:eastAsia="Calluna-Regular"/>
        </w:rPr>
        <w:t>University Press.</w:t>
      </w:r>
    </w:p>
    <w:p w:rsidR="00371F31" w:rsidRPr="00371F31" w:rsidRDefault="00371F31" w:rsidP="00371F31">
      <w:pPr>
        <w:pStyle w:val="ecxmsonormal"/>
        <w:autoSpaceDE w:val="0"/>
        <w:autoSpaceDN w:val="0"/>
        <w:spacing w:before="0" w:beforeAutospacing="0" w:after="0" w:afterAutospacing="0"/>
        <w:rPr>
          <w:rFonts w:eastAsia="Calluna-Regular"/>
        </w:rPr>
      </w:pPr>
    </w:p>
    <w:p w:rsidR="00371F31" w:rsidRPr="00371F31" w:rsidRDefault="00371F31" w:rsidP="00371F31">
      <w:pPr>
        <w:pStyle w:val="ecxmsonormal"/>
        <w:autoSpaceDE w:val="0"/>
        <w:autoSpaceDN w:val="0"/>
        <w:spacing w:before="0" w:beforeAutospacing="0" w:after="0" w:afterAutospacing="0"/>
        <w:rPr>
          <w:rFonts w:eastAsia="Calluna-Regular"/>
          <w:b/>
        </w:rPr>
      </w:pPr>
      <w:r w:rsidRPr="00371F31">
        <w:rPr>
          <w:rFonts w:eastAsia="Calluna-Regular"/>
          <w:b/>
        </w:rPr>
        <w:t>Other:</w:t>
      </w:r>
    </w:p>
    <w:p w:rsidR="00371F31" w:rsidRPr="00371F31" w:rsidRDefault="00371F31" w:rsidP="00371F31">
      <w:pPr>
        <w:pStyle w:val="ecxmsonormal"/>
        <w:autoSpaceDE w:val="0"/>
        <w:autoSpaceDN w:val="0"/>
        <w:spacing w:before="0" w:beforeAutospacing="0" w:after="0" w:afterAutospacing="0"/>
        <w:rPr>
          <w:rFonts w:eastAsia="Calluna-Regular"/>
          <w:b/>
        </w:rPr>
      </w:pPr>
    </w:p>
    <w:p w:rsidR="00371F31" w:rsidRPr="00371F31" w:rsidRDefault="00371F31" w:rsidP="00371F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1F31">
        <w:rPr>
          <w:rFonts w:ascii="Times New Roman" w:hAnsi="Times New Roman" w:cs="Times New Roman"/>
          <w:sz w:val="24"/>
          <w:szCs w:val="24"/>
        </w:rPr>
        <w:t>HAVEMAN, R. H., BERSHADKER, A., &amp; SCHWABISH, J. A. (2003).</w:t>
      </w:r>
      <w:proofErr w:type="gramEnd"/>
      <w:r w:rsidRPr="00371F31">
        <w:rPr>
          <w:rFonts w:ascii="Times New Roman" w:hAnsi="Times New Roman" w:cs="Times New Roman"/>
          <w:sz w:val="24"/>
          <w:szCs w:val="24"/>
        </w:rPr>
        <w:t xml:space="preserve"> </w:t>
      </w:r>
      <w:r w:rsidRPr="00371F31">
        <w:rPr>
          <w:rFonts w:ascii="Times New Roman" w:hAnsi="Times New Roman" w:cs="Times New Roman"/>
          <w:i/>
          <w:sz w:val="24"/>
          <w:szCs w:val="24"/>
        </w:rPr>
        <w:t>Human capital in the United States from 1975 to 2000: Patterns of growth and utilization</w:t>
      </w:r>
      <w:r w:rsidRPr="00371F31">
        <w:rPr>
          <w:rFonts w:ascii="Times New Roman" w:hAnsi="Times New Roman" w:cs="Times New Roman"/>
          <w:sz w:val="24"/>
          <w:szCs w:val="24"/>
        </w:rPr>
        <w:t>. W. E. Upjohn Institute for Employment Research.</w:t>
      </w:r>
    </w:p>
    <w:p w:rsidR="00371F31" w:rsidRPr="00371F31" w:rsidRDefault="00371F31" w:rsidP="00371F31">
      <w:pPr>
        <w:pStyle w:val="ecxmsonormal"/>
        <w:autoSpaceDE w:val="0"/>
        <w:autoSpaceDN w:val="0"/>
        <w:spacing w:before="0" w:beforeAutospacing="0" w:after="0" w:afterAutospacing="0"/>
        <w:rPr>
          <w:b/>
        </w:rPr>
      </w:pPr>
    </w:p>
    <w:p w:rsidR="00371F31" w:rsidRPr="009D1A79" w:rsidRDefault="00371F31" w:rsidP="009D1A79">
      <w:pPr>
        <w:rPr>
          <w:rFonts w:ascii="Times New Roman" w:hAnsi="Times New Roman" w:cs="Times New Roman"/>
          <w:sz w:val="24"/>
        </w:rPr>
      </w:pPr>
    </w:p>
    <w:sectPr w:rsidR="00371F31" w:rsidRPr="009D1A7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2C" w:rsidRDefault="000A362C" w:rsidP="00371F31">
      <w:pPr>
        <w:spacing w:after="0" w:line="240" w:lineRule="auto"/>
      </w:pPr>
      <w:r>
        <w:separator/>
      </w:r>
    </w:p>
  </w:endnote>
  <w:endnote w:type="continuationSeparator" w:id="0">
    <w:p w:rsidR="000A362C" w:rsidRDefault="000A362C" w:rsidP="003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un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luna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2C" w:rsidRDefault="000A362C" w:rsidP="00371F31">
      <w:pPr>
        <w:spacing w:after="0" w:line="240" w:lineRule="auto"/>
      </w:pPr>
      <w:r>
        <w:separator/>
      </w:r>
    </w:p>
  </w:footnote>
  <w:footnote w:type="continuationSeparator" w:id="0">
    <w:p w:rsidR="000A362C" w:rsidRDefault="000A362C" w:rsidP="0037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3467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1F31" w:rsidRDefault="00371F3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F31" w:rsidRDefault="00371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201D"/>
    <w:multiLevelType w:val="hybridMultilevel"/>
    <w:tmpl w:val="47D05B70"/>
    <w:lvl w:ilvl="0" w:tplc="24C04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E45E0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9"/>
    <w:rsid w:val="0001742C"/>
    <w:rsid w:val="00024848"/>
    <w:rsid w:val="000A362C"/>
    <w:rsid w:val="00371F31"/>
    <w:rsid w:val="00437434"/>
    <w:rsid w:val="00483F74"/>
    <w:rsid w:val="009D1A79"/>
    <w:rsid w:val="00D73A07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Biblio-Entry">
    <w:name w:val="Biblio-Entry"/>
    <w:basedOn w:val="BodyText"/>
    <w:rsid w:val="0001742C"/>
    <w:pPr>
      <w:tabs>
        <w:tab w:val="left" w:pos="850"/>
        <w:tab w:val="left" w:pos="1191"/>
        <w:tab w:val="left" w:pos="1531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lang w:val="en-GB" w:eastAsia="zh-CN"/>
    </w:rPr>
  </w:style>
  <w:style w:type="paragraph" w:styleId="NoSpacing">
    <w:name w:val="No Spacing"/>
    <w:uiPriority w:val="1"/>
    <w:qFormat/>
    <w:rsid w:val="00017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cxmsonormal">
    <w:name w:val="ecxmsonormal"/>
    <w:basedOn w:val="Normal"/>
    <w:rsid w:val="0001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4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42C"/>
  </w:style>
  <w:style w:type="paragraph" w:styleId="Header">
    <w:name w:val="header"/>
    <w:basedOn w:val="Normal"/>
    <w:link w:val="HeaderChar"/>
    <w:uiPriority w:val="99"/>
    <w:unhideWhenUsed/>
    <w:rsid w:val="0037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31"/>
  </w:style>
  <w:style w:type="paragraph" w:styleId="Footer">
    <w:name w:val="footer"/>
    <w:basedOn w:val="Normal"/>
    <w:link w:val="FooterChar"/>
    <w:uiPriority w:val="99"/>
    <w:unhideWhenUsed/>
    <w:rsid w:val="0037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Biblio-Entry">
    <w:name w:val="Biblio-Entry"/>
    <w:basedOn w:val="BodyText"/>
    <w:rsid w:val="0001742C"/>
    <w:pPr>
      <w:tabs>
        <w:tab w:val="left" w:pos="850"/>
        <w:tab w:val="left" w:pos="1191"/>
        <w:tab w:val="left" w:pos="1531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lang w:val="en-GB" w:eastAsia="zh-CN"/>
    </w:rPr>
  </w:style>
  <w:style w:type="paragraph" w:styleId="NoSpacing">
    <w:name w:val="No Spacing"/>
    <w:uiPriority w:val="1"/>
    <w:qFormat/>
    <w:rsid w:val="00017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cxmsonormal">
    <w:name w:val="ecxmsonormal"/>
    <w:basedOn w:val="Normal"/>
    <w:rsid w:val="0001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4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42C"/>
  </w:style>
  <w:style w:type="paragraph" w:styleId="Header">
    <w:name w:val="header"/>
    <w:basedOn w:val="Normal"/>
    <w:link w:val="HeaderChar"/>
    <w:uiPriority w:val="99"/>
    <w:unhideWhenUsed/>
    <w:rsid w:val="0037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31"/>
  </w:style>
  <w:style w:type="paragraph" w:styleId="Footer">
    <w:name w:val="footer"/>
    <w:basedOn w:val="Normal"/>
    <w:link w:val="FooterChar"/>
    <w:uiPriority w:val="99"/>
    <w:unhideWhenUsed/>
    <w:rsid w:val="0037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pisa/keyfindings/pisa-2012-results-volume-v.htm" TargetMode="External"/><Relationship Id="rId13" Type="http://schemas.openxmlformats.org/officeDocument/2006/relationships/hyperlink" Target="http://www.sciencedirect.com/science/article/pii/S03043878120008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article/pii/S03043878120008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/site/piaa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kills.oecd.org/skillsoutlo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pisa/keyfindings/pisa-2012-results.htm" TargetMode="External"/><Relationship Id="rId14" Type="http://schemas.openxmlformats.org/officeDocument/2006/relationships/hyperlink" Target="http://www.barrol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Maine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Fraumeni</dc:creator>
  <cp:lastModifiedBy>Barbara Fraumeni</cp:lastModifiedBy>
  <cp:revision>5</cp:revision>
  <dcterms:created xsi:type="dcterms:W3CDTF">2015-04-29T13:49:00Z</dcterms:created>
  <dcterms:modified xsi:type="dcterms:W3CDTF">2015-04-29T14:18:00Z</dcterms:modified>
</cp:coreProperties>
</file>